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AF" w:rsidRPr="00A44DAF" w:rsidRDefault="008C40F7" w:rsidP="00A44DAF">
      <w:pPr>
        <w:jc w:val="center"/>
        <w:rPr>
          <w:color w:val="7B7B7B" w:themeColor="accent3" w:themeShade="BF"/>
          <w:sz w:val="36"/>
          <w:szCs w:val="36"/>
        </w:rPr>
      </w:pPr>
      <w:r>
        <w:rPr>
          <w:color w:val="7B7B7B" w:themeColor="accent3" w:themeShade="BF"/>
          <w:sz w:val="36"/>
          <w:szCs w:val="36"/>
        </w:rPr>
        <w:t>„Przegląd Zachodni” 4</w:t>
      </w:r>
      <w:r w:rsidR="00A44DAF" w:rsidRPr="00A44DAF">
        <w:rPr>
          <w:color w:val="7B7B7B" w:themeColor="accent3" w:themeShade="BF"/>
          <w:sz w:val="36"/>
          <w:szCs w:val="36"/>
        </w:rPr>
        <w:t>/2017</w:t>
      </w:r>
    </w:p>
    <w:p w:rsidR="00D539E8" w:rsidRDefault="008C40F7" w:rsidP="00A44DAF">
      <w:pPr>
        <w:jc w:val="center"/>
      </w:pPr>
      <w:r>
        <w:rPr>
          <w:sz w:val="40"/>
          <w:szCs w:val="40"/>
        </w:rPr>
        <w:t>O KONDYCJI CYWILIZACJI EUROPEJSKIEJ</w:t>
      </w:r>
    </w:p>
    <w:p w:rsidR="00A44DAF" w:rsidRDefault="00A44DAF" w:rsidP="00A44DAF">
      <w:pPr>
        <w:jc w:val="center"/>
      </w:pPr>
    </w:p>
    <w:p w:rsidR="00A44DAF" w:rsidRDefault="00605E68" w:rsidP="00A44DAF">
      <w:pPr>
        <w:rPr>
          <w:color w:val="7B7B7B" w:themeColor="accent3" w:themeShade="BF"/>
        </w:rPr>
      </w:pPr>
      <w:r w:rsidRPr="00605E68">
        <w:rPr>
          <w:b/>
        </w:rPr>
        <w:t>Andrzej  Denka</w:t>
      </w:r>
      <w:r w:rsidR="00A44DAF" w:rsidRPr="00A44DAF">
        <w:t xml:space="preserve">, </w:t>
      </w:r>
      <w:r w:rsidRPr="00605E68">
        <w:rPr>
          <w:color w:val="7B7B7B" w:themeColor="accent3" w:themeShade="BF"/>
        </w:rPr>
        <w:t>germanistyka interkulturowa, hermeneutyka obcości, zderzenie cywilizacji,  Botho Strauß</w:t>
      </w:r>
    </w:p>
    <w:p w:rsidR="00A44DAF" w:rsidRDefault="00605E68" w:rsidP="00A44DAF">
      <w:pPr>
        <w:rPr>
          <w:rFonts w:cstheme="minorHAnsi"/>
          <w:lang w:eastAsia="pl-PL"/>
        </w:rPr>
      </w:pPr>
      <w:r w:rsidRPr="00605E68">
        <w:rPr>
          <w:rFonts w:cstheme="minorHAnsi"/>
          <w:lang w:eastAsia="pl-PL"/>
        </w:rPr>
        <w:t>Kryzys migracyjny spowodowany wybuchem wojny w Syrii i niemiecką polityką otwartości  (</w:t>
      </w:r>
      <w:proofErr w:type="spellStart"/>
      <w:r w:rsidRPr="00605E68">
        <w:rPr>
          <w:rFonts w:cstheme="minorHAnsi"/>
          <w:lang w:eastAsia="pl-PL"/>
        </w:rPr>
        <w:t>Willkommenskultur</w:t>
      </w:r>
      <w:proofErr w:type="spellEnd"/>
      <w:r w:rsidRPr="00605E68">
        <w:rPr>
          <w:rFonts w:cstheme="minorHAnsi"/>
          <w:lang w:eastAsia="pl-PL"/>
        </w:rPr>
        <w:t xml:space="preserve">) – który wywołał dość krytyczne opinie w polskich czasopismach prawicowych – stanowi dobrą okazję do przebadania określenia „interkulturowość”. Już na początku lat osiemdziesiątych XX wieku niemieckie środowisko akademickie podjęło próbę przedefiniowania pojęcia „filologia” (badania nad językiem), zapoczątkowując „germanistykę interkulturową”, kojarzoną z jej najbardziej znanym orędownikiem, Aloesem </w:t>
      </w:r>
      <w:proofErr w:type="spellStart"/>
      <w:r w:rsidRPr="00605E68">
        <w:rPr>
          <w:rFonts w:cstheme="minorHAnsi"/>
          <w:lang w:eastAsia="pl-PL"/>
        </w:rPr>
        <w:t>Wierlacherem</w:t>
      </w:r>
      <w:proofErr w:type="spellEnd"/>
      <w:r w:rsidRPr="00605E68">
        <w:rPr>
          <w:rFonts w:cstheme="minorHAnsi"/>
          <w:lang w:eastAsia="pl-PL"/>
        </w:rPr>
        <w:t>.   Jedna z przesłanek tak pojmowanej germanistyki polegała na przekroczeniu europocentryzmu i porzuceniu tradycyjnej hermeneutyki stosowanej w tradycyjnej humanistyce niemieckiej (</w:t>
      </w:r>
      <w:proofErr w:type="spellStart"/>
      <w:r w:rsidRPr="00605E68">
        <w:rPr>
          <w:rFonts w:cstheme="minorHAnsi"/>
          <w:lang w:eastAsia="pl-PL"/>
        </w:rPr>
        <w:t>Geistesgeschichte</w:t>
      </w:r>
      <w:proofErr w:type="spellEnd"/>
      <w:r w:rsidRPr="00605E68">
        <w:rPr>
          <w:rFonts w:cstheme="minorHAnsi"/>
          <w:lang w:eastAsia="pl-PL"/>
        </w:rPr>
        <w:t>) na rzecz podejścia, które z biegiem czasu nazwano „hermeneutyką obcości” (</w:t>
      </w:r>
      <w:proofErr w:type="spellStart"/>
      <w:r w:rsidRPr="00605E68">
        <w:rPr>
          <w:rFonts w:cstheme="minorHAnsi"/>
          <w:lang w:eastAsia="pl-PL"/>
        </w:rPr>
        <w:t>Hermeneutik</w:t>
      </w:r>
      <w:proofErr w:type="spellEnd"/>
      <w:r w:rsidRPr="00605E68">
        <w:rPr>
          <w:rFonts w:cstheme="minorHAnsi"/>
          <w:lang w:eastAsia="pl-PL"/>
        </w:rPr>
        <w:t xml:space="preserve"> der </w:t>
      </w:r>
      <w:proofErr w:type="spellStart"/>
      <w:r w:rsidRPr="00605E68">
        <w:rPr>
          <w:rFonts w:cstheme="minorHAnsi"/>
          <w:lang w:eastAsia="pl-PL"/>
        </w:rPr>
        <w:t>Fremde</w:t>
      </w:r>
      <w:proofErr w:type="spellEnd"/>
      <w:r w:rsidRPr="00605E68">
        <w:rPr>
          <w:rFonts w:cstheme="minorHAnsi"/>
          <w:lang w:eastAsia="pl-PL"/>
        </w:rPr>
        <w:t xml:space="preserve">). Literatura niemiecka miała otworzyć się na nowe interpretacje podejmowane z perspektywy odległych kultur. Jeszcze dalej idące zmiany zaproponowano w wyniku “zwrotu kulturowego” i pod wpływem włączenia perspektywy postkolonialnej, związanej z takimi badaczami jak E. Said i H.K. </w:t>
      </w:r>
      <w:proofErr w:type="spellStart"/>
      <w:r w:rsidRPr="00605E68">
        <w:rPr>
          <w:rFonts w:cstheme="minorHAnsi"/>
          <w:lang w:eastAsia="pl-PL"/>
        </w:rPr>
        <w:t>Bhabha</w:t>
      </w:r>
      <w:proofErr w:type="spellEnd"/>
      <w:r w:rsidRPr="00605E68">
        <w:rPr>
          <w:rFonts w:cstheme="minorHAnsi"/>
          <w:lang w:eastAsia="pl-PL"/>
        </w:rPr>
        <w:t xml:space="preserve">. W konsekwencji germanistyka miała być zastąpiona przez literaturoznawstwo interkulturowe lub prąd znany jako „literatura światowa”. Nawet po 11 września 2001, ten nowy konstrukt pojęciowy i instytucjonalny całkowicie zignorował diagnozę S.P. Huntingtona przedstawioną przez niego w 1993 r. pod nazwą „zderzenie cywilizacji”. Idee formułowane przez Botho Straußa stanowią przeciwwagę dla niemieckich postulatów </w:t>
      </w:r>
      <w:proofErr w:type="spellStart"/>
      <w:r w:rsidRPr="00605E68">
        <w:rPr>
          <w:rFonts w:cstheme="minorHAnsi"/>
          <w:lang w:eastAsia="pl-PL"/>
        </w:rPr>
        <w:t>antropologizacji</w:t>
      </w:r>
      <w:proofErr w:type="spellEnd"/>
      <w:r w:rsidRPr="00605E68">
        <w:rPr>
          <w:rFonts w:cstheme="minorHAnsi"/>
          <w:lang w:eastAsia="pl-PL"/>
        </w:rPr>
        <w:t xml:space="preserve"> zachodu. W świetle zderzenia cywilizacji i kryzysu migracyjnego, jego diagnoza brzmi niezwykle pesymistycznie: niemieckie społeczeństwo i kultura nie przetrwają, gdyż oderwały się od tradycyjnych wartości. Z wnikliwej lektury jego esejów wynika, że tworzone w kręgach akademickich modele nie tylko nie dostarczają adekwatnych opisów rzeczywistości, ale są niszczące dla społeczeństw zachodnich.</w:t>
      </w:r>
    </w:p>
    <w:p w:rsidR="00A44DAF" w:rsidRDefault="00605E68" w:rsidP="00A44DAF">
      <w:pPr>
        <w:rPr>
          <w:rFonts w:cstheme="minorHAnsi"/>
          <w:color w:val="7B7B7B" w:themeColor="accent3" w:themeShade="BF"/>
        </w:rPr>
      </w:pPr>
      <w:r w:rsidRPr="00605E68">
        <w:rPr>
          <w:rFonts w:cstheme="minorHAnsi"/>
          <w:b/>
        </w:rPr>
        <w:t xml:space="preserve">Grażyna </w:t>
      </w:r>
      <w:proofErr w:type="spellStart"/>
      <w:r w:rsidRPr="00605E68">
        <w:rPr>
          <w:rFonts w:cstheme="minorHAnsi"/>
          <w:b/>
        </w:rPr>
        <w:t>Firlit-Fesnak</w:t>
      </w:r>
      <w:proofErr w:type="spellEnd"/>
      <w:r w:rsidR="00A44DAF" w:rsidRPr="00A44DAF">
        <w:rPr>
          <w:rFonts w:cstheme="minorHAnsi"/>
          <w:color w:val="7B7B7B" w:themeColor="accent3" w:themeShade="BF"/>
        </w:rPr>
        <w:t xml:space="preserve">, </w:t>
      </w:r>
      <w:r w:rsidRPr="00605E68">
        <w:rPr>
          <w:rFonts w:cstheme="minorHAnsi"/>
          <w:color w:val="7B7B7B" w:themeColor="accent3" w:themeShade="BF"/>
        </w:rPr>
        <w:t>rodzina, porządek rodzinny, porządek publiczny</w:t>
      </w:r>
    </w:p>
    <w:p w:rsidR="00605E68" w:rsidRPr="00605E68" w:rsidRDefault="00605E68" w:rsidP="00605E68">
      <w:pPr>
        <w:rPr>
          <w:rFonts w:cstheme="minorHAnsi"/>
        </w:rPr>
      </w:pPr>
      <w:r w:rsidRPr="00605E68">
        <w:rPr>
          <w:rFonts w:cstheme="minorHAnsi"/>
        </w:rPr>
        <w:t xml:space="preserve">Artykuł analizuje rodzinę europejską  jako wspólnotę łączącą porządek prywatny z porządkiem publicznym. Ramy czasowe analizy obejmują minione półwiecze, ukazując wzajemne relacje w procesie ciągłości i zmiany. </w:t>
      </w:r>
    </w:p>
    <w:p w:rsidR="00605E68" w:rsidRDefault="00605E68" w:rsidP="00605E68">
      <w:pPr>
        <w:rPr>
          <w:rFonts w:cstheme="minorHAnsi"/>
        </w:rPr>
      </w:pPr>
      <w:r w:rsidRPr="00605E68">
        <w:rPr>
          <w:rFonts w:cstheme="minorHAnsi"/>
        </w:rPr>
        <w:t xml:space="preserve">   Pierwsza część  przedstawia egzogenne uwarunkowania przemian rodziny takie, jak: makroekonomia, systemy polityki społecznej krajów Europy, wybrane ideologie. Ukazuje ich wpływ na wzorce tworzenia rodziny, modele organizacji życia rodzinnego, podział ról i charakter więzi w rodzinie, stosunek  Europejczyków do trwania,  rozpadu rodziny, rekonstrukcji rodziny, zmieniający w istocie obowiązujący przez stulecia w kulturze ludzkiej paradygmat myślenia o rodzinie jako wspólnocie współtworzącej porządek publiczny i prowadzący w wielu kr</w:t>
      </w:r>
      <w:r>
        <w:rPr>
          <w:rFonts w:cstheme="minorHAnsi"/>
        </w:rPr>
        <w:t xml:space="preserve">ajach do prywatyzacji rodziny. </w:t>
      </w:r>
    </w:p>
    <w:p w:rsidR="00605E68" w:rsidRPr="00605E68" w:rsidRDefault="00605E68" w:rsidP="00605E68">
      <w:pPr>
        <w:rPr>
          <w:rFonts w:cstheme="minorHAnsi"/>
        </w:rPr>
      </w:pPr>
      <w:r w:rsidRPr="00605E68">
        <w:rPr>
          <w:rFonts w:cstheme="minorHAnsi"/>
        </w:rPr>
        <w:t xml:space="preserve">Następnie przedstawiono charakter zmian w definiowaniu rodziny  w regionie Europy, analizę ustaw zasadniczych państw członkowskich Unii Europejskiej z perspektywy deficytu/obecności różnych kontekstów postrzegania rodziny w ich normatywnym porządku. Analizę tę dopełnia przegląd podstawowych aktów normatywnych  Unii Europejskiej wskazujących na brak odniesienia do  rodziny </w:t>
      </w:r>
      <w:r w:rsidRPr="00605E68">
        <w:rPr>
          <w:rFonts w:cstheme="minorHAnsi"/>
        </w:rPr>
        <w:lastRenderedPageBreak/>
        <w:t xml:space="preserve">w polityce wspólnoty oraz stanowisko Kościoła katolickiego, pozostającego najbardziej stabilną instytucją chroniącą tradycyjny ustrój rodziny i jej obecność w porządku publicznym i politycznym państwa.    </w:t>
      </w:r>
    </w:p>
    <w:p w:rsidR="00A44DAF" w:rsidRDefault="00605E68" w:rsidP="00605E68">
      <w:pPr>
        <w:rPr>
          <w:rFonts w:cstheme="minorHAnsi"/>
          <w:color w:val="7B7B7B" w:themeColor="accent3" w:themeShade="BF"/>
        </w:rPr>
      </w:pPr>
      <w:r w:rsidRPr="00605E68">
        <w:rPr>
          <w:rFonts w:cstheme="minorHAnsi"/>
        </w:rPr>
        <w:t>Trzecia część prezentuje rodzaje relacji między rodziną a sferą publiczną w porządku politycznym państw współczesnej Europy, identyfikuje obszary zadań i funkcji rodziny współodpowiedzialne za  współczesny ład społeczny i polityczny w naszym regionie w obliczu zmieniającego się świata pracy, realiów skuteczności państwa socjalnego, przemian masowej kultury.</w:t>
      </w:r>
    </w:p>
    <w:p w:rsidR="00A44DAF" w:rsidRDefault="00605E68" w:rsidP="00A44DAF">
      <w:pPr>
        <w:rPr>
          <w:rFonts w:cstheme="minorHAnsi"/>
          <w:color w:val="7B7B7B" w:themeColor="accent3" w:themeShade="BF"/>
        </w:rPr>
      </w:pPr>
      <w:r w:rsidRPr="00605E68">
        <w:rPr>
          <w:rFonts w:cstheme="minorHAnsi"/>
          <w:b/>
        </w:rPr>
        <w:t xml:space="preserve">Marian  </w:t>
      </w:r>
      <w:proofErr w:type="spellStart"/>
      <w:r w:rsidRPr="00605E68">
        <w:rPr>
          <w:rFonts w:cstheme="minorHAnsi"/>
          <w:b/>
        </w:rPr>
        <w:t>Golka</w:t>
      </w:r>
      <w:proofErr w:type="spellEnd"/>
      <w:r w:rsidR="00A44DAF" w:rsidRPr="00A44DAF">
        <w:rPr>
          <w:rFonts w:cstheme="minorHAnsi"/>
          <w:color w:val="7B7B7B" w:themeColor="accent3" w:themeShade="BF"/>
        </w:rPr>
        <w:t xml:space="preserve">, </w:t>
      </w:r>
      <w:r w:rsidRPr="00605E68">
        <w:rPr>
          <w:rFonts w:cstheme="minorHAnsi"/>
          <w:color w:val="7B7B7B" w:themeColor="accent3" w:themeShade="BF"/>
        </w:rPr>
        <w:t>cywilizacja zachodnia, racjonalizm, emancypacja społeczna, światowa dominacja</w:t>
      </w:r>
    </w:p>
    <w:p w:rsidR="00A44DAF" w:rsidRDefault="00605E68" w:rsidP="00A44DAF">
      <w:pPr>
        <w:rPr>
          <w:rFonts w:cstheme="minorHAnsi"/>
        </w:rPr>
      </w:pPr>
      <w:r w:rsidRPr="00605E68">
        <w:rPr>
          <w:rFonts w:cstheme="minorHAnsi"/>
        </w:rPr>
        <w:t>Celem artykułu jest refleksja nad przyszłością cywilizacji zachodniej, której tożsamość określają zasadniczo dwie wartości: racjonalizm i dążenie do emancypacji społecznej. Kwestią otwartą pozostaje, czy cywilizacja ta nadal będzie pomyślnie trwać, przede wszystkim zaś, czy utrzyma swoją pięćsetletnią dominację nad światem. Wydaje się, że prognozy długoterminowe wyrażać można jedynie w formie przypuszczeń. Można jedynie przewidywać kilka możliwych scenariuszy: dalsze pomyślne trwanie tej cywilizacji; jej stopniowe starzenie się; różnorodne możliwe formy hybrydyzacji; możliwa, choć raczej trudna do przewidzenia, katastrofa.</w:t>
      </w:r>
    </w:p>
    <w:p w:rsidR="00A44DAF" w:rsidRDefault="00605E68" w:rsidP="00A44DAF">
      <w:pPr>
        <w:rPr>
          <w:rFonts w:cstheme="minorHAnsi"/>
          <w:color w:val="525252" w:themeColor="accent3" w:themeShade="80"/>
        </w:rPr>
      </w:pPr>
      <w:r w:rsidRPr="00605E68">
        <w:rPr>
          <w:rFonts w:cstheme="minorHAnsi"/>
          <w:b/>
        </w:rPr>
        <w:t xml:space="preserve">Marta </w:t>
      </w:r>
      <w:proofErr w:type="spellStart"/>
      <w:r w:rsidRPr="00605E68">
        <w:rPr>
          <w:rFonts w:cstheme="minorHAnsi"/>
          <w:b/>
        </w:rPr>
        <w:t>Gotz</w:t>
      </w:r>
      <w:proofErr w:type="spellEnd"/>
      <w:r w:rsidR="00A44DAF" w:rsidRPr="00A44DAF">
        <w:rPr>
          <w:rFonts w:cstheme="minorHAnsi"/>
        </w:rPr>
        <w:t xml:space="preserve">, </w:t>
      </w:r>
      <w:r w:rsidRPr="00605E68">
        <w:rPr>
          <w:rFonts w:cstheme="minorHAnsi"/>
          <w:color w:val="525252" w:themeColor="accent3" w:themeShade="80"/>
        </w:rPr>
        <w:t>Przemysł 4.0, wytwórczość, Polska, Niemcy</w:t>
      </w:r>
    </w:p>
    <w:p w:rsidR="0087771A" w:rsidRDefault="00605E68" w:rsidP="0087771A">
      <w:pPr>
        <w:rPr>
          <w:rFonts w:cstheme="minorHAnsi"/>
        </w:rPr>
      </w:pPr>
      <w:r w:rsidRPr="00605E68">
        <w:rPr>
          <w:rFonts w:cstheme="minorHAnsi"/>
        </w:rPr>
        <w:t xml:space="preserve">Przemysł 4.0 powiązany jest z </w:t>
      </w:r>
      <w:proofErr w:type="spellStart"/>
      <w:r w:rsidRPr="00605E68">
        <w:rPr>
          <w:rFonts w:cstheme="minorHAnsi"/>
        </w:rPr>
        <w:t>internetem</w:t>
      </w:r>
      <w:proofErr w:type="spellEnd"/>
      <w:r w:rsidRPr="00605E68">
        <w:rPr>
          <w:rFonts w:cstheme="minorHAnsi"/>
        </w:rPr>
        <w:t xml:space="preserve"> rzeczy, </w:t>
      </w:r>
      <w:proofErr w:type="spellStart"/>
      <w:r w:rsidRPr="00605E68">
        <w:rPr>
          <w:rFonts w:cstheme="minorHAnsi"/>
        </w:rPr>
        <w:t>internetem</w:t>
      </w:r>
      <w:proofErr w:type="spellEnd"/>
      <w:r w:rsidRPr="00605E68">
        <w:rPr>
          <w:rFonts w:cstheme="minorHAnsi"/>
        </w:rPr>
        <w:t xml:space="preserve"> usług i systemami </w:t>
      </w:r>
      <w:proofErr w:type="spellStart"/>
      <w:r w:rsidRPr="00605E68">
        <w:rPr>
          <w:rFonts w:cstheme="minorHAnsi"/>
        </w:rPr>
        <w:t>cyber</w:t>
      </w:r>
      <w:proofErr w:type="spellEnd"/>
      <w:r w:rsidRPr="00605E68">
        <w:rPr>
          <w:rFonts w:cstheme="minorHAnsi"/>
        </w:rPr>
        <w:t>-fizycznymi. Jest to rewolucja, która dogłębnie przekształca obowiązujące aktualnie modle działalności gospodarczej. Zjawisko to budzi rosnące zainteresowanie wśród uczonych, twórców polityki gospodarczej oraz przedstawicieli przedsiębiorców i przemysłu, gdyż stanowi wyzwanie dla systemów prawnych państw, ich rynków pracy i zdolności technologicznych. Mimo to, nadal niewiele wiadomo o międzynarodowych uwarunkowaniach czwartej rewolucji przemysłowej. Artykuł stawia sobie za cel wypełnienie tej luki. Opierając się na studium przypadku relacji polsko-niemieckich określono obszary badań warte rozważenia i przedłożono hipotezę dotyczącą więzi gospodarczych w kontekście Przemysłu 4.0. Autorka charakteryzuje przesłanki przemysłu czwartej generacji oraz diagnozuje i omawia główne zagrożenia i korzyści z nim związane. Artykuł można przyjąć za punkt wyjścia do bardziej szczegółowych badań nad przedmiotowym zagadnieniem.</w:t>
      </w:r>
    </w:p>
    <w:p w:rsidR="00605E68" w:rsidRDefault="00605E68" w:rsidP="0087771A">
      <w:pPr>
        <w:rPr>
          <w:rFonts w:cstheme="minorHAnsi"/>
          <w:color w:val="525252" w:themeColor="accent3" w:themeShade="80"/>
        </w:rPr>
      </w:pPr>
      <w:r w:rsidRPr="00605E68">
        <w:rPr>
          <w:rFonts w:cstheme="minorHAnsi"/>
          <w:b/>
        </w:rPr>
        <w:t xml:space="preserve">Tomasz G. </w:t>
      </w:r>
      <w:proofErr w:type="spellStart"/>
      <w:r w:rsidRPr="00605E68">
        <w:rPr>
          <w:rFonts w:cstheme="minorHAnsi"/>
          <w:b/>
        </w:rPr>
        <w:t>Grosse</w:t>
      </w:r>
      <w:proofErr w:type="spellEnd"/>
      <w:r w:rsidR="0087771A" w:rsidRPr="0087771A">
        <w:rPr>
          <w:rFonts w:cstheme="minorHAnsi"/>
        </w:rPr>
        <w:t xml:space="preserve">, </w:t>
      </w:r>
      <w:r w:rsidRPr="00605E68">
        <w:rPr>
          <w:rFonts w:cstheme="minorHAnsi"/>
          <w:color w:val="525252" w:themeColor="accent3" w:themeShade="80"/>
        </w:rPr>
        <w:t xml:space="preserve">Unia Europejska, kryzys, </w:t>
      </w:r>
      <w:proofErr w:type="spellStart"/>
      <w:r w:rsidRPr="00605E68">
        <w:rPr>
          <w:rFonts w:cstheme="minorHAnsi"/>
          <w:color w:val="525252" w:themeColor="accent3" w:themeShade="80"/>
        </w:rPr>
        <w:t>Toynbee</w:t>
      </w:r>
      <w:proofErr w:type="spellEnd"/>
      <w:r w:rsidRPr="00605E68">
        <w:rPr>
          <w:rFonts w:cstheme="minorHAnsi"/>
          <w:color w:val="525252" w:themeColor="accent3" w:themeShade="80"/>
        </w:rPr>
        <w:t>, uniwersalne wartości, integracja europejska</w:t>
      </w:r>
      <w:r>
        <w:rPr>
          <w:rFonts w:cstheme="minorHAnsi"/>
          <w:color w:val="525252" w:themeColor="accent3" w:themeShade="80"/>
        </w:rPr>
        <w:t xml:space="preserve"> </w:t>
      </w:r>
    </w:p>
    <w:p w:rsidR="0087771A" w:rsidRDefault="00605E68" w:rsidP="0087771A">
      <w:pPr>
        <w:rPr>
          <w:rFonts w:cstheme="minorHAnsi"/>
        </w:rPr>
      </w:pPr>
      <w:r w:rsidRPr="00605E68">
        <w:rPr>
          <w:rFonts w:cstheme="minorHAnsi"/>
        </w:rPr>
        <w:t xml:space="preserve">Koncepcja Arnolda </w:t>
      </w:r>
      <w:proofErr w:type="spellStart"/>
      <w:r w:rsidRPr="00605E68">
        <w:rPr>
          <w:rFonts w:cstheme="minorHAnsi"/>
        </w:rPr>
        <w:t>Toynbee’go</w:t>
      </w:r>
      <w:proofErr w:type="spellEnd"/>
      <w:r w:rsidRPr="00605E68">
        <w:rPr>
          <w:rFonts w:cstheme="minorHAnsi"/>
        </w:rPr>
        <w:t xml:space="preserve"> zakłada, że dezintegracja nie zależy od samych kryzysów i ich częstotliwości, ale raczej od głębszych zjawisk społecznych i politycznych, które uniemożliwiają rozwój lub choćby tylko dalsze trwanie danej cywilizacji. Celem tego artykułu jest próba uchwycenia tychże zjawisk dezintegracyjnych, a także namysł nad tym, czy podobne do nich można zidentyfikować w czasie kryzysów europejskich na początku XXI wieku. Punktem wyjścia niniejszej analizy są założenia państwa uniwersalnego </w:t>
      </w:r>
      <w:proofErr w:type="spellStart"/>
      <w:r w:rsidRPr="00605E68">
        <w:rPr>
          <w:rFonts w:cstheme="minorHAnsi"/>
        </w:rPr>
        <w:t>Toynbee’ego</w:t>
      </w:r>
      <w:proofErr w:type="spellEnd"/>
      <w:r w:rsidRPr="00605E68">
        <w:rPr>
          <w:rFonts w:cstheme="minorHAnsi"/>
        </w:rPr>
        <w:t xml:space="preserve"> i próba ich odniesienia do konstrukcji Unii Europejskiej.</w:t>
      </w:r>
    </w:p>
    <w:p w:rsidR="0087771A" w:rsidRDefault="00605E68" w:rsidP="00605E68">
      <w:pPr>
        <w:rPr>
          <w:rFonts w:cstheme="minorHAnsi"/>
          <w:color w:val="525252" w:themeColor="accent3" w:themeShade="80"/>
        </w:rPr>
      </w:pPr>
      <w:r w:rsidRPr="00605E68">
        <w:rPr>
          <w:rFonts w:cstheme="minorHAnsi"/>
          <w:b/>
        </w:rPr>
        <w:t>Iwona Jakimowicz-Pisarska</w:t>
      </w:r>
      <w:r w:rsidR="0087771A" w:rsidRPr="0087771A">
        <w:rPr>
          <w:rFonts w:cstheme="minorHAnsi"/>
        </w:rPr>
        <w:t xml:space="preserve">, </w:t>
      </w:r>
      <w:r w:rsidRPr="00605E68">
        <w:rPr>
          <w:rFonts w:cstheme="minorHAnsi"/>
          <w:color w:val="525252" w:themeColor="accent3" w:themeShade="80"/>
        </w:rPr>
        <w:t>państwa europejskie, funkcja państwa, władza</w:t>
      </w:r>
    </w:p>
    <w:p w:rsidR="0087771A" w:rsidRDefault="00605E68" w:rsidP="0087771A">
      <w:pPr>
        <w:rPr>
          <w:rFonts w:cstheme="minorHAnsi"/>
        </w:rPr>
      </w:pPr>
      <w:r w:rsidRPr="00605E68">
        <w:rPr>
          <w:rFonts w:cstheme="minorHAnsi"/>
        </w:rPr>
        <w:t>Tekst skupia się na wskazaniu nowego podziału funkcji państwa europejskiego. Założenie, że samo przypisanie sobie przez określone państwa danych funkcji nie decyduje o faktycznej możliwości ich realizacji we współczesnym świecie. Wiele z zadań państwa w dzisiejszej Europie wymaga współpracy międzynarodowej. Rola państwa i jego władz musi zatem zostać przedefiniowana w najbliższym czasie. Bilans funkcji i dysfunkcji państwa przedstawiony w tekście jest proponowanym sposobem na określenie władzy oraz siły państwa w przestrzeni międzynarodowej.</w:t>
      </w:r>
      <w:r w:rsidR="0087771A" w:rsidRPr="0087771A">
        <w:rPr>
          <w:rFonts w:cstheme="minorHAnsi"/>
        </w:rPr>
        <w:t>.</w:t>
      </w:r>
    </w:p>
    <w:p w:rsidR="0087771A" w:rsidRDefault="005D20A7" w:rsidP="0087771A">
      <w:pPr>
        <w:rPr>
          <w:rFonts w:cstheme="minorHAnsi"/>
          <w:color w:val="525252" w:themeColor="accent3" w:themeShade="80"/>
        </w:rPr>
      </w:pPr>
      <w:r w:rsidRPr="005D20A7">
        <w:rPr>
          <w:rFonts w:cstheme="minorHAnsi"/>
          <w:b/>
        </w:rPr>
        <w:lastRenderedPageBreak/>
        <w:t xml:space="preserve">Natalia  </w:t>
      </w:r>
      <w:proofErr w:type="spellStart"/>
      <w:r w:rsidRPr="005D20A7">
        <w:rPr>
          <w:rFonts w:cstheme="minorHAnsi"/>
          <w:b/>
        </w:rPr>
        <w:t>Kohtamaki</w:t>
      </w:r>
      <w:proofErr w:type="spellEnd"/>
      <w:r w:rsidR="0087771A" w:rsidRPr="0087771A">
        <w:rPr>
          <w:rFonts w:cstheme="minorHAnsi"/>
          <w:b/>
        </w:rPr>
        <w:t>,</w:t>
      </w:r>
      <w:r w:rsidR="0087771A" w:rsidRPr="0087771A">
        <w:rPr>
          <w:rFonts w:cstheme="minorHAnsi"/>
        </w:rPr>
        <w:t xml:space="preserve"> </w:t>
      </w:r>
      <w:r w:rsidRPr="005D20A7">
        <w:rPr>
          <w:rFonts w:cstheme="minorHAnsi"/>
          <w:color w:val="525252" w:themeColor="accent3" w:themeShade="80"/>
        </w:rPr>
        <w:t>zarządzanie wielopoziomowe, integracja europejska, tożsamość europejska, kultura, legitymizacja</w:t>
      </w:r>
    </w:p>
    <w:p w:rsidR="0087771A" w:rsidRPr="0002058E" w:rsidRDefault="005D20A7" w:rsidP="0087771A">
      <w:pPr>
        <w:jc w:val="both"/>
        <w:rPr>
          <w:rFonts w:eastAsia="Calibri"/>
          <w:b/>
          <w:lang w:eastAsia="zh-CN"/>
        </w:rPr>
      </w:pPr>
      <w:r w:rsidRPr="005D20A7">
        <w:rPr>
          <w:rFonts w:eastAsia="Calibri"/>
          <w:lang w:eastAsia="zh-CN"/>
        </w:rPr>
        <w:t>We współczesnym, zglobalizowanym świecie jednostki rozwijają wiele uzupełniających się tożsamości, co wynika z ich uczestnictwa w życiu równolegle istniejących grup społecznych. Wśród tożsamości kolektywnych, które odgrywają istotną rolę w życiu człowieka wyróżnia się etniczne, regionalne czy kulturowo-cywilizacyjne. Tożsamości zbiorowe budowane są w ramach określonej wspólnoty, która wypracowuje poczucie przynależności na fundamencie podzielanych przez daną grupę społeczną wartości, ideałów, poglądów, potrzeb czy interesów. Trudno taki rodzaj wspólnoty wypracować w zinstytucjonalizowanych strukturach, które odgórnie podejmują starania na rzecz legitymizacji swojego istnienia i działania właśnie poprzez normatywne kształtowanie poczucia wspólnej tożsamości. Takie zjawiska można zaobserwować od kilku dekad w UE, która za pośrednictwem wielopoziomowego systemu zarządzania stara się zbudować tożsamość europejską będącą pochodną procesu integracyjnego.</w:t>
      </w:r>
      <w:r w:rsidR="0087771A">
        <w:rPr>
          <w:rFonts w:eastAsia="Calibri"/>
          <w:lang w:eastAsia="zh-CN"/>
        </w:rPr>
        <w:t xml:space="preserve">. </w:t>
      </w:r>
      <w:r w:rsidR="0087771A" w:rsidRPr="0002058E">
        <w:rPr>
          <w:rFonts w:eastAsia="Calibri"/>
          <w:lang w:eastAsia="zh-CN"/>
        </w:rPr>
        <w:t xml:space="preserve"> </w:t>
      </w:r>
    </w:p>
    <w:p w:rsidR="0087771A" w:rsidRDefault="005D20A7" w:rsidP="0087771A">
      <w:pPr>
        <w:rPr>
          <w:rFonts w:cstheme="minorHAnsi"/>
          <w:color w:val="525252" w:themeColor="accent3" w:themeShade="80"/>
        </w:rPr>
      </w:pPr>
      <w:r w:rsidRPr="005D20A7">
        <w:rPr>
          <w:rFonts w:cstheme="minorHAnsi"/>
          <w:b/>
        </w:rPr>
        <w:t xml:space="preserve">Maria </w:t>
      </w:r>
      <w:proofErr w:type="spellStart"/>
      <w:r w:rsidRPr="005D20A7">
        <w:rPr>
          <w:rFonts w:cstheme="minorHAnsi"/>
          <w:b/>
        </w:rPr>
        <w:t>Wagińska</w:t>
      </w:r>
      <w:proofErr w:type="spellEnd"/>
      <w:r w:rsidRPr="005D20A7">
        <w:rPr>
          <w:rFonts w:cstheme="minorHAnsi"/>
          <w:b/>
        </w:rPr>
        <w:t>-Marzec</w:t>
      </w:r>
      <w:r w:rsidR="0087771A" w:rsidRPr="0087771A">
        <w:rPr>
          <w:rFonts w:cstheme="minorHAnsi"/>
        </w:rPr>
        <w:t xml:space="preserve">, </w:t>
      </w:r>
      <w:r w:rsidRPr="005D20A7">
        <w:rPr>
          <w:rFonts w:cstheme="minorHAnsi"/>
          <w:color w:val="525252" w:themeColor="accent3" w:themeShade="80"/>
        </w:rPr>
        <w:t>West-</w:t>
      </w:r>
      <w:proofErr w:type="spellStart"/>
      <w:r w:rsidRPr="005D20A7">
        <w:rPr>
          <w:rFonts w:cstheme="minorHAnsi"/>
          <w:color w:val="525252" w:themeColor="accent3" w:themeShade="80"/>
        </w:rPr>
        <w:t>Eastern</w:t>
      </w:r>
      <w:proofErr w:type="spellEnd"/>
      <w:r w:rsidRPr="005D20A7">
        <w:rPr>
          <w:rFonts w:cstheme="minorHAnsi"/>
          <w:color w:val="525252" w:themeColor="accent3" w:themeShade="80"/>
        </w:rPr>
        <w:t xml:space="preserve"> </w:t>
      </w:r>
      <w:proofErr w:type="spellStart"/>
      <w:r w:rsidRPr="005D20A7">
        <w:rPr>
          <w:rFonts w:cstheme="minorHAnsi"/>
          <w:color w:val="525252" w:themeColor="accent3" w:themeShade="80"/>
        </w:rPr>
        <w:t>Divan</w:t>
      </w:r>
      <w:proofErr w:type="spellEnd"/>
      <w:r w:rsidRPr="005D20A7">
        <w:rPr>
          <w:rFonts w:cstheme="minorHAnsi"/>
          <w:color w:val="525252" w:themeColor="accent3" w:themeShade="80"/>
        </w:rPr>
        <w:t xml:space="preserve"> </w:t>
      </w:r>
      <w:proofErr w:type="spellStart"/>
      <w:r w:rsidRPr="005D20A7">
        <w:rPr>
          <w:rFonts w:cstheme="minorHAnsi"/>
          <w:color w:val="525252" w:themeColor="accent3" w:themeShade="80"/>
        </w:rPr>
        <w:t>Orchestra</w:t>
      </w:r>
      <w:proofErr w:type="spellEnd"/>
      <w:r w:rsidRPr="005D20A7">
        <w:rPr>
          <w:rFonts w:cstheme="minorHAnsi"/>
          <w:color w:val="525252" w:themeColor="accent3" w:themeShade="80"/>
        </w:rPr>
        <w:t xml:space="preserve">, Daniel </w:t>
      </w:r>
      <w:proofErr w:type="spellStart"/>
      <w:r w:rsidRPr="005D20A7">
        <w:rPr>
          <w:rFonts w:cstheme="minorHAnsi"/>
          <w:color w:val="525252" w:themeColor="accent3" w:themeShade="80"/>
        </w:rPr>
        <w:t>Barenboim</w:t>
      </w:r>
      <w:proofErr w:type="spellEnd"/>
      <w:r w:rsidRPr="005D20A7">
        <w:rPr>
          <w:rFonts w:cstheme="minorHAnsi"/>
          <w:color w:val="525252" w:themeColor="accent3" w:themeShade="80"/>
        </w:rPr>
        <w:t>, Edward Said, muzyka</w:t>
      </w:r>
    </w:p>
    <w:p w:rsidR="0087771A" w:rsidRDefault="005D20A7" w:rsidP="0087771A">
      <w:pPr>
        <w:rPr>
          <w:rFonts w:cstheme="minorHAnsi"/>
        </w:rPr>
      </w:pPr>
      <w:r w:rsidRPr="005D20A7">
        <w:rPr>
          <w:rFonts w:cstheme="minorHAnsi"/>
        </w:rPr>
        <w:t xml:space="preserve">Niewielu jest artystów, którzy tak silnie angażują się w działania na niwie nie tylko artystycznej, ale też społecznej i politycznej, jak zamieszkały w Berlinie argentyńsko-izraelski pianista i dyrygent Daniel </w:t>
      </w:r>
      <w:proofErr w:type="spellStart"/>
      <w:r w:rsidRPr="005D20A7">
        <w:rPr>
          <w:rFonts w:cstheme="minorHAnsi"/>
        </w:rPr>
        <w:t>Barenboim</w:t>
      </w:r>
      <w:proofErr w:type="spellEnd"/>
      <w:r w:rsidRPr="005D20A7">
        <w:rPr>
          <w:rFonts w:cstheme="minorHAnsi"/>
        </w:rPr>
        <w:t>. Godny uwagi jest zwłaszcza jego projekt muzyczny, który zainicjował i zrealizował wraz z Amerykaninem pochodzenia palestyńskiego, cenionym filozofem, teoretykiem i krytykiem literatury i kultury, Edwardem Saidem. Stworzona przez nich w 1999 r. arabsko-izraelska orkiestra West-</w:t>
      </w:r>
      <w:proofErr w:type="spellStart"/>
      <w:r w:rsidRPr="005D20A7">
        <w:rPr>
          <w:rFonts w:cstheme="minorHAnsi"/>
        </w:rPr>
        <w:t>Eastern</w:t>
      </w:r>
      <w:proofErr w:type="spellEnd"/>
      <w:r w:rsidRPr="005D20A7">
        <w:rPr>
          <w:rFonts w:cstheme="minorHAnsi"/>
        </w:rPr>
        <w:t xml:space="preserve"> </w:t>
      </w:r>
      <w:proofErr w:type="spellStart"/>
      <w:r w:rsidRPr="005D20A7">
        <w:rPr>
          <w:rFonts w:cstheme="minorHAnsi"/>
        </w:rPr>
        <w:t>Divan</w:t>
      </w:r>
      <w:proofErr w:type="spellEnd"/>
      <w:r w:rsidRPr="005D20A7">
        <w:rPr>
          <w:rFonts w:cstheme="minorHAnsi"/>
        </w:rPr>
        <w:t xml:space="preserve"> </w:t>
      </w:r>
      <w:proofErr w:type="spellStart"/>
      <w:r w:rsidRPr="005D20A7">
        <w:rPr>
          <w:rFonts w:cstheme="minorHAnsi"/>
        </w:rPr>
        <w:t>Orchestra</w:t>
      </w:r>
      <w:proofErr w:type="spellEnd"/>
      <w:r w:rsidRPr="005D20A7">
        <w:rPr>
          <w:rFonts w:cstheme="minorHAnsi"/>
        </w:rPr>
        <w:t xml:space="preserve">, składająca się z młodych muzyków pochodzących z ogarniętych konfliktem zbrojnym krajów Bliskiego Wschodu (Palestyny, Izraela, Syrii, Libanu, Jordanu, Egiptu, etc.), niesie w świat, zgodnie z założeniami jej organizatorów, „przesłanie pokoju”. Poprzez muzykę, dzięki wspólnym warsztatom, koncertom, dyskusjom i rozmowom, następuje stopniowe niwelowane sądów i uprzedzeń o sobie nawzajem, a także o historii i kulturze swych narodów. Jest to najlepszy dowód na to, że możliwe jest porozumienie między zwaśnionymi narodami, mimo różnic politycznych, kulturowych i wyznaniowych, a nawet nawiązywanie przyjaźni. Potwierdza to twierdzenie </w:t>
      </w:r>
      <w:proofErr w:type="spellStart"/>
      <w:r w:rsidRPr="005D20A7">
        <w:rPr>
          <w:rFonts w:cstheme="minorHAnsi"/>
        </w:rPr>
        <w:t>Barenboima</w:t>
      </w:r>
      <w:proofErr w:type="spellEnd"/>
      <w:r w:rsidRPr="005D20A7">
        <w:rPr>
          <w:rFonts w:cstheme="minorHAnsi"/>
        </w:rPr>
        <w:t>, iż rozwiązanie konfliktu na Bliskim Wschodzie tkwi nie w środkach militarnych, lecz w ludziach.</w:t>
      </w:r>
    </w:p>
    <w:p w:rsidR="0087771A" w:rsidRDefault="005D20A7" w:rsidP="0087771A">
      <w:pPr>
        <w:rPr>
          <w:rFonts w:cstheme="minorHAnsi"/>
          <w:color w:val="7B7B7B" w:themeColor="accent3" w:themeShade="BF"/>
        </w:rPr>
      </w:pPr>
      <w:r w:rsidRPr="005D20A7">
        <w:rPr>
          <w:rFonts w:cstheme="minorHAnsi"/>
          <w:b/>
        </w:rPr>
        <w:t xml:space="preserve">Paweł  </w:t>
      </w:r>
      <w:proofErr w:type="spellStart"/>
      <w:r w:rsidRPr="005D20A7">
        <w:rPr>
          <w:rFonts w:cstheme="minorHAnsi"/>
          <w:b/>
        </w:rPr>
        <w:t>Malendowicz</w:t>
      </w:r>
      <w:proofErr w:type="spellEnd"/>
      <w:r w:rsidR="0087771A" w:rsidRPr="0087771A">
        <w:rPr>
          <w:rFonts w:cstheme="minorHAnsi"/>
          <w:b/>
        </w:rPr>
        <w:t>,</w:t>
      </w:r>
      <w:r w:rsidR="0087771A" w:rsidRPr="0087771A">
        <w:rPr>
          <w:rFonts w:cstheme="minorHAnsi"/>
        </w:rPr>
        <w:t xml:space="preserve"> </w:t>
      </w:r>
      <w:r w:rsidRPr="005D20A7">
        <w:rPr>
          <w:rFonts w:cstheme="minorHAnsi"/>
          <w:color w:val="7B7B7B" w:themeColor="accent3" w:themeShade="BF"/>
        </w:rPr>
        <w:t>nacjonalizm, cywilizacja zachodnia, konsumpcjonizm, materializm, Europa</w:t>
      </w:r>
    </w:p>
    <w:p w:rsidR="0087771A" w:rsidRDefault="005D20A7" w:rsidP="0087771A">
      <w:r w:rsidRPr="005D20A7">
        <w:t>Nacjonalizm jest nurtem myśli politycznej, w którym idea narodu i państwa narodowego jest wartością najwyższą. W nacjonalizmie lojalność wobec własnego narodu przewyższa wszelkie inne rodzaje lojalności. Nacjonalizmy poszczególnych narodów nie są jednak takie same. Nacjonaliści z państw Europy Środkowej i Wschodniej negują materializm i konsumpcjonizm cywilizacji zachodniej. Sprzeciwiają się laicyzacji kontynentu oraz masowej imigracji. Uważają, że te procesy doprowadzą do samozagłady narodów europejskich. Dlatego postulują odbudowanie suwerenności państw narodowych. W artykule przeanalizowano programy partii nacjonalistycznych z Polski, Węgier, Litwy, Ukrainy i Rosji w kontekście argumentacji stosowanej przez te partie w krytyce cywilizacji zachodniej.</w:t>
      </w:r>
    </w:p>
    <w:p w:rsidR="005D20A7" w:rsidRDefault="005D20A7" w:rsidP="005D20A7">
      <w:pPr>
        <w:rPr>
          <w:rFonts w:cstheme="minorHAnsi"/>
          <w:color w:val="7B7B7B" w:themeColor="accent3" w:themeShade="BF"/>
        </w:rPr>
      </w:pPr>
      <w:r w:rsidRPr="005D20A7">
        <w:rPr>
          <w:rFonts w:cstheme="minorHAnsi"/>
          <w:b/>
        </w:rPr>
        <w:t xml:space="preserve">Muller, </w:t>
      </w:r>
      <w:proofErr w:type="spellStart"/>
      <w:r w:rsidRPr="005D20A7">
        <w:rPr>
          <w:rFonts w:cstheme="minorHAnsi"/>
          <w:b/>
        </w:rPr>
        <w:t>Leszkowicz</w:t>
      </w:r>
      <w:proofErr w:type="spellEnd"/>
      <w:r w:rsidRPr="005D20A7">
        <w:rPr>
          <w:rFonts w:cstheme="minorHAnsi"/>
          <w:b/>
        </w:rPr>
        <w:t>-Baczyński</w:t>
      </w:r>
      <w:r w:rsidRPr="0087771A">
        <w:rPr>
          <w:rFonts w:cstheme="minorHAnsi"/>
          <w:b/>
        </w:rPr>
        <w:t>,</w:t>
      </w:r>
      <w:r w:rsidRPr="0087771A">
        <w:rPr>
          <w:rFonts w:cstheme="minorHAnsi"/>
        </w:rPr>
        <w:t xml:space="preserve"> </w:t>
      </w:r>
      <w:r w:rsidRPr="005D20A7">
        <w:rPr>
          <w:rFonts w:cstheme="minorHAnsi"/>
          <w:color w:val="7B7B7B" w:themeColor="accent3" w:themeShade="BF"/>
        </w:rPr>
        <w:t xml:space="preserve">zaufanie, populizm prawicowy, kryzys uchodźczy w Europie, postawy wobec </w:t>
      </w:r>
      <w:proofErr w:type="spellStart"/>
      <w:r w:rsidRPr="005D20A7">
        <w:rPr>
          <w:rFonts w:cstheme="minorHAnsi"/>
          <w:color w:val="7B7B7B" w:themeColor="accent3" w:themeShade="BF"/>
        </w:rPr>
        <w:t>imigran</w:t>
      </w:r>
      <w:r>
        <w:rPr>
          <w:rFonts w:cstheme="minorHAnsi"/>
          <w:color w:val="7B7B7B" w:themeColor="accent3" w:themeShade="BF"/>
        </w:rPr>
        <w:t>tów</w:t>
      </w:r>
    </w:p>
    <w:p w:rsidR="005D20A7" w:rsidRDefault="005D20A7" w:rsidP="0087771A">
      <w:proofErr w:type="spellEnd"/>
      <w:r w:rsidRPr="005D20A7">
        <w:t xml:space="preserve">Celem artykułu jest charakterystyka społecznych reakcji na kryzys uchodźczy rozpoczęty w 2015 roku, dotyczący większości krajów europejskich. W tekście zaprezentowano z jednej strony narastanie wrogich postaw wobec imigrantów z Afryki północnej oraz krajów arabskich, z drugiej strony wzrost prawicowego populizmu. Artykuł składa się z dwóch części. Pierwszą rozpoczynają teoretyczne </w:t>
      </w:r>
      <w:r w:rsidRPr="005D20A7">
        <w:lastRenderedPageBreak/>
        <w:t>ustalenia dotyczące problematyki zaufania, imigracji oraz populizmu. Autorzy twierdzą, że zaufanie, będące rodzajem relacji współtworzących kapitał społeczny jest niezbędnym spoiwem trwania i rozwoju systemów społecznych. Ponadto przekonania na temat podobieństwa (lub jego braku) z innymi są podstawowe dla wytworzenia więzi społecznych. Druga część tekstu zawiera konkluzje dotyczące porównania wyników badań empirycznych nad postawami i przekonaniami, zrealizowanych w Niemczech i w Polsce. Autorzy wskazują, że sytuacja w obu krajach różni się w wielu aspektach, choć jednocześnie dostrzec można tam pewne podobieństwa wyrażające się przykładowo wzrostem społecznych obaw czy wrogości wobec imigrantów, co zarówno daje się wytłumaczyć poczuciem zagrożenia, jednak z drugiej stanowi efekt populistycznej propagandy radykalnej prawicy.</w:t>
      </w:r>
    </w:p>
    <w:p w:rsidR="005D20A7" w:rsidRDefault="005D20A7" w:rsidP="005D20A7">
      <w:pPr>
        <w:rPr>
          <w:rFonts w:cstheme="minorHAnsi"/>
          <w:color w:val="7B7B7B" w:themeColor="accent3" w:themeShade="BF"/>
        </w:rPr>
      </w:pPr>
      <w:r w:rsidRPr="005D20A7">
        <w:rPr>
          <w:rFonts w:cstheme="minorHAnsi"/>
          <w:b/>
        </w:rPr>
        <w:t>Przemysław  Osiewicz</w:t>
      </w:r>
      <w:r w:rsidRPr="0087771A">
        <w:rPr>
          <w:rFonts w:cstheme="minorHAnsi"/>
          <w:b/>
        </w:rPr>
        <w:t>,</w:t>
      </w:r>
      <w:r w:rsidRPr="0087771A">
        <w:rPr>
          <w:rFonts w:cstheme="minorHAnsi"/>
        </w:rPr>
        <w:t xml:space="preserve"> </w:t>
      </w:r>
      <w:r w:rsidRPr="005D20A7">
        <w:rPr>
          <w:rFonts w:cstheme="minorHAnsi"/>
          <w:color w:val="7B7B7B" w:themeColor="accent3" w:themeShade="BF"/>
        </w:rPr>
        <w:t>Unia Europejska – Bliski Wschód – Syria - rozwiązywanie konfliktu – zarządzanie konfliktami</w:t>
      </w:r>
    </w:p>
    <w:p w:rsidR="005D20A7" w:rsidRDefault="005D20A7" w:rsidP="005D20A7">
      <w:r>
        <w:t>Wydarzenia, które miały miejsce po atakach terrorystycznych z 11 września 2001 r., a zwłaszcza wojna z terroryzmem, zbrojna interwencja w Iraku oraz gwałtowany proces zmian politycznych po 2011 r. radykalnie zmieniły sytuację na Bliskim Wschodzie na niekorzyść Europy. To samo twierdzenie odnosi się do Unii Europejskiej. Niniejszy artykuł poświęcony jest szczegółowej analizie zaangażowania dyplomatycznego UE w Syrii, w trakcie wciąż trwającego konfliktu w tym państwie. Czy Unia mogłaby odgrywać bardziej konstruktywną i wpływową rolę w ramach syryjskiego procesu pokojowego? By odpowiedzieć na powyższe pytanie badawcze należy przeanalizować dotychczasowe działania podejmowane przez UE zwłaszcza w kontekście najnowszego dokumentu – Elementów strategii UE na rzecz Syrii z 2017 r. Zdaniem autora, chociaż łatwo jest krytykować Unię za jej rzekomy brak efektywności i realnego wpływu na bieg wydarzeń w Syrii, należy podkreślić znaczenie dotychczasowych działań o charakterze politycznym oraz skalę niesionej pomocy humanitarnej oraz innych miękkich działań podejmowanych zarówno w stosunku do Syrii, jak i syryjskich uchodźców. W tym ostatnim przypadku podstawową przeszkodę stanowią wewnętrzne linie podziałów oraz brak solidarności pomiędzy państwami członkowskimi. Bez wątpienia polityka UE byłaby bardziej efektywna i spójna, gdyby niektórzy członkowie, ze szczególnym uwzględnieniem kilku państw środkowoeuropejskich, w tym Polski, zmodyfikowali swoje stanowiska dotyczące zarówno samego konfliktu, jak i losu syryjskich uchodźców.</w:t>
      </w:r>
    </w:p>
    <w:p w:rsidR="005D20A7" w:rsidRDefault="005D20A7" w:rsidP="005D20A7">
      <w:pPr>
        <w:rPr>
          <w:rFonts w:cstheme="minorHAnsi"/>
          <w:color w:val="7B7B7B" w:themeColor="accent3" w:themeShade="BF"/>
        </w:rPr>
      </w:pPr>
      <w:r w:rsidRPr="005D20A7">
        <w:rPr>
          <w:rFonts w:cstheme="minorHAnsi"/>
          <w:b/>
        </w:rPr>
        <w:t xml:space="preserve">Jan Wiktor </w:t>
      </w:r>
      <w:proofErr w:type="spellStart"/>
      <w:r w:rsidRPr="005D20A7">
        <w:rPr>
          <w:rFonts w:cstheme="minorHAnsi"/>
          <w:b/>
        </w:rPr>
        <w:t>Tkaczyński</w:t>
      </w:r>
      <w:proofErr w:type="spellEnd"/>
      <w:r w:rsidRPr="0087771A">
        <w:rPr>
          <w:rFonts w:cstheme="minorHAnsi"/>
          <w:b/>
        </w:rPr>
        <w:t>,</w:t>
      </w:r>
      <w:r w:rsidRPr="0087771A">
        <w:rPr>
          <w:rFonts w:cstheme="minorHAnsi"/>
        </w:rPr>
        <w:t xml:space="preserve"> </w:t>
      </w:r>
      <w:r w:rsidRPr="005D20A7">
        <w:rPr>
          <w:rFonts w:cstheme="minorHAnsi"/>
          <w:color w:val="7B7B7B" w:themeColor="accent3" w:themeShade="BF"/>
        </w:rPr>
        <w:t>Niemcy, prawo konstytucyjne, system polityczny</w:t>
      </w:r>
    </w:p>
    <w:p w:rsidR="005D20A7" w:rsidRPr="005D20A7" w:rsidRDefault="005D20A7" w:rsidP="005D20A7">
      <w:r w:rsidRPr="005D20A7">
        <w:t xml:space="preserve">Rada Federacji (Bundesrat) jest jednym z naczelnych organów państwa. Jednym z czterech w kategorii naczelnych organów federalnych, którymi są w kolejności wyliczenia w Ustawie Zasadniczej (UZ): Bundestag, Bundesrat, </w:t>
      </w:r>
      <w:proofErr w:type="spellStart"/>
      <w:r w:rsidRPr="005D20A7">
        <w:t>Bundespräsident</w:t>
      </w:r>
      <w:proofErr w:type="spellEnd"/>
      <w:r w:rsidRPr="005D20A7">
        <w:t xml:space="preserve"> i </w:t>
      </w:r>
      <w:proofErr w:type="spellStart"/>
      <w:r w:rsidRPr="005D20A7">
        <w:t>Bundesregierung</w:t>
      </w:r>
      <w:proofErr w:type="spellEnd"/>
      <w:r w:rsidRPr="005D20A7">
        <w:t>. To, co decyduje o wyjątkowej randze każdego z nich bierze się bowiem stąd, że wszystkie kompetencje wymienionych organów są wyłożone explicite w Ustawie Zasadniczej (</w:t>
      </w:r>
      <w:proofErr w:type="spellStart"/>
      <w:r w:rsidRPr="005D20A7">
        <w:t>Grundgesetz</w:t>
      </w:r>
      <w:proofErr w:type="spellEnd"/>
      <w:r w:rsidRPr="005D20A7">
        <w:t>), a nie – co ma miejsce w przypadku pozostałych organów państwa – w ustawie zwykłej. Skoro wobec tego Rada Federacji jest jednym z kilku naczelnych organów państwa, to nie może być ona równocześnie częścią innego organu. Piramidalnym zatem nieporozumieniem ustrojowym jest przedstawianie Bundesratu jako drugiej bądź wyższej izby parlamentu niemieckiego.</w:t>
      </w:r>
    </w:p>
    <w:p w:rsidR="005D20A7" w:rsidRDefault="005D20A7" w:rsidP="005D20A7">
      <w:pPr>
        <w:rPr>
          <w:rFonts w:cstheme="minorHAnsi"/>
          <w:color w:val="7B7B7B" w:themeColor="accent3" w:themeShade="BF"/>
        </w:rPr>
      </w:pPr>
      <w:r>
        <w:rPr>
          <w:rFonts w:cstheme="minorHAnsi"/>
          <w:b/>
        </w:rPr>
        <w:t xml:space="preserve">Dariusz </w:t>
      </w:r>
      <w:proofErr w:type="spellStart"/>
      <w:r>
        <w:rPr>
          <w:rFonts w:cstheme="minorHAnsi"/>
          <w:b/>
        </w:rPr>
        <w:t>Wojtaszyn</w:t>
      </w:r>
      <w:proofErr w:type="spellEnd"/>
      <w:r w:rsidRPr="0087771A">
        <w:rPr>
          <w:rFonts w:cstheme="minorHAnsi"/>
          <w:b/>
        </w:rPr>
        <w:t>,</w:t>
      </w:r>
      <w:r w:rsidRPr="0087771A">
        <w:rPr>
          <w:rFonts w:cstheme="minorHAnsi"/>
        </w:rPr>
        <w:t xml:space="preserve"> </w:t>
      </w:r>
      <w:r w:rsidRPr="005D20A7">
        <w:rPr>
          <w:rFonts w:cstheme="minorHAnsi"/>
          <w:color w:val="7B7B7B" w:themeColor="accent3" w:themeShade="BF"/>
        </w:rPr>
        <w:t xml:space="preserve">sport, piłka nożna, Europa Środkowa, </w:t>
      </w:r>
      <w:proofErr w:type="spellStart"/>
      <w:r w:rsidRPr="005D20A7">
        <w:rPr>
          <w:rFonts w:cstheme="minorHAnsi"/>
          <w:color w:val="7B7B7B" w:themeColor="accent3" w:themeShade="BF"/>
        </w:rPr>
        <w:t>Mitteleuropa</w:t>
      </w:r>
      <w:proofErr w:type="spellEnd"/>
      <w:r w:rsidRPr="005D20A7">
        <w:rPr>
          <w:rFonts w:cstheme="minorHAnsi"/>
          <w:color w:val="7B7B7B" w:themeColor="accent3" w:themeShade="BF"/>
        </w:rPr>
        <w:t xml:space="preserve">  </w:t>
      </w:r>
      <w:proofErr w:type="spellStart"/>
      <w:r w:rsidRPr="005D20A7">
        <w:rPr>
          <w:rFonts w:cstheme="minorHAnsi"/>
          <w:color w:val="7B7B7B" w:themeColor="accent3" w:themeShade="BF"/>
        </w:rPr>
        <w:t>Mitropa-Cup</w:t>
      </w:r>
      <w:proofErr w:type="spellEnd"/>
      <w:r w:rsidRPr="005D20A7">
        <w:rPr>
          <w:rFonts w:cstheme="minorHAnsi"/>
          <w:color w:val="7B7B7B" w:themeColor="accent3" w:themeShade="BF"/>
        </w:rPr>
        <w:t>, tożsamość narodowa, Austria, Czechosłowacja, Węgry</w:t>
      </w:r>
    </w:p>
    <w:p w:rsidR="005D20A7" w:rsidRDefault="005D20A7" w:rsidP="005D20A7"/>
    <w:p w:rsidR="005D20A7" w:rsidRDefault="005D20A7" w:rsidP="005D20A7"/>
    <w:p w:rsidR="005D20A7" w:rsidRPr="005D20A7" w:rsidRDefault="005D20A7" w:rsidP="005D20A7">
      <w:r>
        <w:lastRenderedPageBreak/>
        <w:t xml:space="preserve">W 1927 r. zainaugurowane zostały piłkarskie rozgrywki </w:t>
      </w:r>
      <w:proofErr w:type="spellStart"/>
      <w:r>
        <w:t>Mitropa-Cup</w:t>
      </w:r>
      <w:proofErr w:type="spellEnd"/>
      <w:r>
        <w:t xml:space="preserve"> (Pucharu </w:t>
      </w:r>
      <w:proofErr w:type="spellStart"/>
      <w:r>
        <w:t>Mitropy</w:t>
      </w:r>
      <w:proofErr w:type="spellEnd"/>
      <w:r>
        <w:t xml:space="preserve">), w którym uczestniczyła część państw dawnej monarchii habsburskiej: Austria, Węgry, Czechosłowacja, Włochy i Jugosławia. Celem artykułu jest próba ukazania kompleksowych działań podejmowanych w Europie Środkowej, a inspirowanych głównie przez Austrię, w celu wykreowania koncepcji </w:t>
      </w:r>
      <w:proofErr w:type="spellStart"/>
      <w:r>
        <w:t>Mitteleuropy</w:t>
      </w:r>
      <w:proofErr w:type="spellEnd"/>
      <w:r>
        <w:t xml:space="preserve"> przy wykorzystaniu najpopularniejszej dyscypliny sportowej regionu - piłki nożnej. Dzięki futbolowi, uważanemu powszechnie za apolityczny, skonstruowana została przestrzeń, w której możliwe stały się próby podejmowania działań o charakterze dyplomatycznym, służącym zarówno realizacji bieżących interesów politycznych, jak i konstruowania wspólnoty środkowoeuropejskiej. Założeniem tekstu jest ponadto próba wskazania, w jaki sposób Puchar </w:t>
      </w:r>
      <w:proofErr w:type="spellStart"/>
      <w:r>
        <w:t>Mitropa</w:t>
      </w:r>
      <w:proofErr w:type="spellEnd"/>
      <w:r>
        <w:t xml:space="preserve"> służył - poza działaniami stricte politycznymi - również próbie poradzenia sobie z rzeczywistością </w:t>
      </w:r>
      <w:proofErr w:type="spellStart"/>
      <w:r>
        <w:t>posthabsburską</w:t>
      </w:r>
      <w:proofErr w:type="spellEnd"/>
      <w:r>
        <w:t xml:space="preserve"> w sferze sportowej oraz szerzej - społecznej w państwach dawnej monarchii.</w:t>
      </w:r>
      <w:bookmarkStart w:id="0" w:name="_GoBack"/>
      <w:bookmarkEnd w:id="0"/>
      <w:r w:rsidRPr="005D20A7">
        <w:t>.</w:t>
      </w:r>
    </w:p>
    <w:p w:rsidR="005D20A7" w:rsidRPr="0087771A" w:rsidRDefault="005D20A7" w:rsidP="005D20A7">
      <w:pPr>
        <w:rPr>
          <w:rFonts w:cstheme="minorHAnsi"/>
        </w:rPr>
      </w:pPr>
    </w:p>
    <w:sectPr w:rsidR="005D20A7" w:rsidRPr="008777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CFD" w:rsidRDefault="00CD1CFD" w:rsidP="00A44DAF">
      <w:pPr>
        <w:spacing w:after="0" w:line="240" w:lineRule="auto"/>
      </w:pPr>
      <w:r>
        <w:separator/>
      </w:r>
    </w:p>
  </w:endnote>
  <w:endnote w:type="continuationSeparator" w:id="0">
    <w:p w:rsidR="00CD1CFD" w:rsidRDefault="00CD1CFD" w:rsidP="00A4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AF" w:rsidRDefault="00A44DAF">
    <w:pPr>
      <w:pStyle w:val="Stopka"/>
    </w:pPr>
    <w:r>
      <w:t xml:space="preserve">Instytut Zachodni w Poznaniu </w:t>
    </w:r>
  </w:p>
  <w:p w:rsidR="00A44DAF" w:rsidRDefault="008C40F7">
    <w:pPr>
      <w:pStyle w:val="Stopka"/>
    </w:pPr>
    <w:r>
      <w:t>Przegląd Zachodni numer 4</w:t>
    </w:r>
    <w:r w:rsidR="00A44DAF">
      <w:t xml:space="preserve">/2017 </w:t>
    </w:r>
  </w:p>
  <w:p w:rsidR="00A44DAF" w:rsidRDefault="008C40F7">
    <w:pPr>
      <w:pStyle w:val="Stopka"/>
    </w:pPr>
    <w:r>
      <w:t>O KONDYCJI CYWILIZACJI EUROPEJSKIEJ</w:t>
    </w:r>
  </w:p>
  <w:p w:rsidR="00A44DAF" w:rsidRDefault="00A44D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CFD" w:rsidRDefault="00CD1CFD" w:rsidP="00A44DAF">
      <w:pPr>
        <w:spacing w:after="0" w:line="240" w:lineRule="auto"/>
      </w:pPr>
      <w:r>
        <w:separator/>
      </w:r>
    </w:p>
  </w:footnote>
  <w:footnote w:type="continuationSeparator" w:id="0">
    <w:p w:rsidR="00CD1CFD" w:rsidRDefault="00CD1CFD" w:rsidP="00A44D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AF"/>
    <w:rsid w:val="005D20A7"/>
    <w:rsid w:val="00605E68"/>
    <w:rsid w:val="00867AE3"/>
    <w:rsid w:val="0087771A"/>
    <w:rsid w:val="008C40F7"/>
    <w:rsid w:val="00A44DAF"/>
    <w:rsid w:val="00CD1CFD"/>
    <w:rsid w:val="00D53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90D6D9-1305-4047-9D63-E7D2D782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4D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DAF"/>
  </w:style>
  <w:style w:type="paragraph" w:styleId="Stopka">
    <w:name w:val="footer"/>
    <w:basedOn w:val="Normalny"/>
    <w:link w:val="StopkaZnak"/>
    <w:uiPriority w:val="99"/>
    <w:unhideWhenUsed/>
    <w:rsid w:val="00A44D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F2A00-CC27-4A08-9B5B-759D61B7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13082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Grochowski</dc:creator>
  <cp:keywords/>
  <dc:description/>
  <cp:lastModifiedBy>Maciej Grochowski</cp:lastModifiedBy>
  <cp:revision>2</cp:revision>
  <dcterms:created xsi:type="dcterms:W3CDTF">2018-03-06T14:26:00Z</dcterms:created>
  <dcterms:modified xsi:type="dcterms:W3CDTF">2018-03-06T14:26:00Z</dcterms:modified>
</cp:coreProperties>
</file>